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41" w:name="X7c3cfb1bb805295149ea4abc9e1064612c480b1"/>
    <w:p>
      <w:pPr>
        <w:pStyle w:val="Heading1"/>
      </w:pPr>
      <w:r>
        <w:t xml:space="preserve">Correções na Análise de Viabilidade — Lotepro</w:t>
      </w:r>
    </w:p>
    <w:p>
      <w:pPr>
        <w:pStyle w:val="FirstParagraph"/>
      </w:pPr>
      <w:r>
        <w:rPr>
          <w:bCs/>
          <w:b/>
        </w:rPr>
        <w:t xml:space="preserve">Documento técnico das correções solicitadas pela Verônica</w:t>
      </w:r>
      <w:r>
        <w:t xml:space="preserve"> </w:t>
      </w:r>
      <w:r>
        <w:t xml:space="preserve">Módulo: Análise de Viabilidade (Suite Apps) · Data: 16/09/2026</w:t>
      </w:r>
      <w:r>
        <w:t xml:space="preserve"> </w:t>
      </w:r>
      <w:r>
        <w:t xml:space="preserve">Versão do código:</w:t>
      </w:r>
      <w:r>
        <w:t xml:space="preserve"> </w:t>
      </w:r>
      <w:r>
        <w:rPr>
          <w:rStyle w:val="VerbatimChar"/>
        </w:rPr>
        <w:t xml:space="preserve">c0470a9</w:t>
      </w:r>
      <w:r>
        <w:t xml:space="preserve"> </w:t>
      </w:r>
      <w:r>
        <w:t xml:space="preserve">· Status: implementado e validado localmente, pendente de publicação em</w:t>
      </w:r>
      <w:r>
        <w:t xml:space="preserve"> </w:t>
      </w:r>
      <w:r>
        <w:rPr>
          <w:rStyle w:val="VerbatimChar"/>
        </w:rPr>
        <w:t xml:space="preserve">work.lotepro.com</w:t>
      </w:r>
    </w:p>
    <w:p>
      <w:r>
        <w:pict>
          <v:rect style="width:0;height:1.5pt" o:hralign="center" o:hrstd="t" o:hr="t"/>
        </w:pict>
      </w:r>
    </w:p>
    <w:bookmarkStart w:id="20" w:name="sumário"/>
    <w:p>
      <w:pPr>
        <w:pStyle w:val="Heading2"/>
      </w:pPr>
      <w:r>
        <w:t xml:space="preserve">Sumário</w:t>
      </w:r>
    </w:p>
    <w:p>
      <w:pPr>
        <w:pStyle w:val="FirstParagraph"/>
      </w:pPr>
      <w:r>
        <w:t xml:space="preserve">Foram identificadas e corrigidas</w:t>
      </w:r>
      <w:r>
        <w:t xml:space="preserve"> </w:t>
      </w:r>
      <w:r>
        <w:rPr>
          <w:bCs/>
          <w:b/>
        </w:rPr>
        <w:t xml:space="preserve">quatro</w:t>
      </w:r>
      <w:r>
        <w:t xml:space="preserve"> </w:t>
      </w:r>
      <w:r>
        <w:t xml:space="preserve">divergências entre o comportamento do sistema e a planilha de referência da Verônica, todas concentradas na</w:t>
      </w:r>
      <w:r>
        <w:t xml:space="preserve"> </w:t>
      </w:r>
      <w:r>
        <w:rPr>
          <w:bCs/>
          <w:b/>
        </w:rPr>
        <w:t xml:space="preserve">aba Capitalização</w:t>
      </w:r>
      <w:r>
        <w:t xml:space="preserve"> </w:t>
      </w:r>
      <w:r>
        <w:t xml:space="preserve">e no</w:t>
      </w:r>
      <w:r>
        <w:t xml:space="preserve"> </w:t>
      </w:r>
      <w:r>
        <w:rPr>
          <w:bCs/>
          <w:b/>
        </w:rPr>
        <w:t xml:space="preserve">motor de fluxo de caixa da Permuta Física</w:t>
      </w:r>
      <w:r>
        <w:t xml:space="preserve">: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848"/>
        <w:gridCol w:w="2828"/>
        <w:gridCol w:w="1697"/>
        <w:gridCol w:w="254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Correção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TMA do investidor editável (desconto do VPL pelo custo de capital de quem investe, não pela WACC do projeto)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CapitalizacaoPage.jsx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VPL/viabilidade das cotas e da participação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Permuta Física: custos</w:t>
            </w:r>
            <w:r>
              <w:t xml:space="preserve"> </w:t>
            </w:r>
            <w:r>
              <w:t xml:space="preserve">“</w:t>
            </w:r>
            <w:r>
              <w:t xml:space="preserve">AMBOS</w:t>
            </w:r>
            <w:r>
              <w:t xml:space="preserve">”</w:t>
            </w:r>
            <w:r>
              <w:t xml:space="preserve"> </w:t>
            </w:r>
            <w:r>
              <w:t xml:space="preserve">respeitando a participação real (55/45), não 50/50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fluxo-caixa-calculator.js</w:t>
            </w:r>
            <w:r>
              <w:t xml:space="preserve"> </w:t>
            </w:r>
            <w:r>
              <w:t xml:space="preserve">e</w:t>
            </w:r>
            <w:r>
              <w:t xml:space="preserve"> </w:t>
            </w:r>
            <w:r>
              <w:rPr>
                <w:rStyle w:val="VerbatimChar"/>
              </w:rPr>
              <w:t xml:space="preserve">-part2.js</w:t>
            </w:r>
            <w:r>
              <w:t xml:space="preserve"> </w:t>
            </w:r>
            <w:r>
              <w:t xml:space="preserve">(backend)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Fluxo de caixa da permuta física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Cotas: colunas Receitas/Despesas exibindo o</w:t>
            </w:r>
            <w:r>
              <w:t xml:space="preserve"> </w:t>
            </w:r>
            <w:r>
              <w:rPr>
                <w:bCs/>
                <w:b/>
              </w:rPr>
              <w:t xml:space="preserve">bruto proporcional</w:t>
            </w:r>
            <w:r>
              <w:t xml:space="preserve"> </w:t>
            </w:r>
            <w:r>
              <w:t xml:space="preserve">da cota, não o líquido/zero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CapitalizacaoPage.jsx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Tabela do fluxo do investidor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Cotas: distribuição ao investidor começa no mês seguinte ao fim da obra, sem carregar as perdas da obra contra ele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CapitalizacaoPage.jsx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Cronograma e valores da distribuição</w:t>
            </w:r>
          </w:p>
        </w:tc>
      </w:tr>
    </w:tbl>
    <w:p>
      <w:pPr>
        <w:pStyle w:val="BodyText"/>
      </w:pPr>
      <w:r>
        <w:t xml:space="preserve">Todas as correções foram</w:t>
      </w:r>
      <w:r>
        <w:t xml:space="preserve"> </w:t>
      </w:r>
      <w:r>
        <w:rPr>
          <w:bCs/>
          <w:b/>
        </w:rPr>
        <w:t xml:space="preserve">validadas ao centavo</w:t>
      </w:r>
      <w:r>
        <w:t xml:space="preserve"> </w:t>
      </w:r>
      <w:r>
        <w:t xml:space="preserve">contra a planilha da Verônica (cenário Águas de Lindoia ZPQ, cota de 15%). A TIR não muda em nenhuma delas quando envolve apenas o desconto (ela é uma IRR — taxa interna, independe da TMA); o que muda é o VPL, o teste de viabilidade (TIR &gt; TMA) e os valores/datas exibidos.</w:t>
      </w:r>
    </w:p>
    <w:p>
      <w:r>
        <w:pict>
          <v:rect style="width:0;height:1.5pt" o:hralign="center" o:hrstd="t" o:hr="t"/>
        </w:pict>
      </w:r>
    </w:p>
    <w:bookmarkEnd w:id="20"/>
    <w:bookmarkStart w:id="24" w:name="X81acb888f80a29e0793a3fd36e056af52916c6c"/>
    <w:p>
      <w:pPr>
        <w:pStyle w:val="Heading2"/>
      </w:pPr>
      <w:r>
        <w:t xml:space="preserve">Correção 1 — TMA do investidor editável (custo de capital ≠ WACC do projeto)</w:t>
      </w:r>
    </w:p>
    <w:bookmarkStart w:id="21" w:name="o-problema"/>
    <w:p>
      <w:pPr>
        <w:pStyle w:val="Heading3"/>
      </w:pPr>
      <w:r>
        <w:t xml:space="preserve">O problema</w:t>
      </w:r>
    </w:p>
    <w:p>
      <w:pPr>
        <w:pStyle w:val="FirstParagraph"/>
      </w:pPr>
      <w:r>
        <w:t xml:space="preserve">O VPL e o teste de viabilidade das</w:t>
      </w:r>
      <w:r>
        <w:t xml:space="preserve"> </w:t>
      </w:r>
      <w:r>
        <w:rPr>
          <w:bCs/>
          <w:b/>
        </w:rPr>
        <w:t xml:space="preserve">cotas</w:t>
      </w:r>
      <w:r>
        <w:t xml:space="preserve"> </w:t>
      </w:r>
      <w:r>
        <w:t xml:space="preserve">e da</w:t>
      </w:r>
      <w:r>
        <w:t xml:space="preserve"> </w:t>
      </w:r>
      <w:r>
        <w:rPr>
          <w:bCs/>
          <w:b/>
        </w:rPr>
        <w:t xml:space="preserve">participação (aporte)</w:t>
      </w:r>
      <w:r>
        <w:t xml:space="preserve"> </w:t>
      </w:r>
      <w:r>
        <w:t xml:space="preserve">estavam sendo descontados pela</w:t>
      </w:r>
      <w:r>
        <w:t xml:space="preserve"> </w:t>
      </w:r>
      <w:r>
        <w:rPr>
          <w:bCs/>
          <w:b/>
        </w:rPr>
        <w:t xml:space="preserve">TMA do projeto</w:t>
      </w:r>
      <w:r>
        <w:t xml:space="preserve"> </w:t>
      </w:r>
      <w:r>
        <w:t xml:space="preserve">— o custo médio ponderado de capital do empreendimento (WACC), vindo de</w:t>
      </w:r>
      <w:r>
        <w:t xml:space="preserve"> </w:t>
      </w:r>
      <w:r>
        <w:rPr>
          <w:rStyle w:val="VerbatimChar"/>
        </w:rPr>
        <w:t xml:space="preserve">indicadoresProjeto.tma</w:t>
      </w:r>
      <w:r>
        <w:t xml:space="preserve"> </w:t>
      </w:r>
      <w:r>
        <w:t xml:space="preserve">(com fallback de 12% a.a.).</w:t>
      </w:r>
    </w:p>
    <w:p>
      <w:pPr>
        <w:pStyle w:val="BodyText"/>
      </w:pPr>
      <w:r>
        <w:t xml:space="preserve">Isso está</w:t>
      </w:r>
      <w:r>
        <w:t xml:space="preserve"> </w:t>
      </w:r>
      <w:r>
        <w:rPr>
          <w:bCs/>
          <w:b/>
        </w:rPr>
        <w:t xml:space="preserve">conceitualmente errado do ponto de vista do investidor</w:t>
      </w:r>
      <w:r>
        <w:t xml:space="preserve">: o VPL de quem investe tem que ser descontado pelo</w:t>
      </w:r>
      <w:r>
        <w:t xml:space="preserve"> </w:t>
      </w:r>
      <w:r>
        <w:rPr>
          <w:bCs/>
          <w:b/>
        </w:rPr>
        <w:t xml:space="preserve">custo de capital do próprio investidor</w:t>
      </w:r>
      <w:r>
        <w:t xml:space="preserve"> </w:t>
      </w:r>
      <w:r>
        <w:t xml:space="preserve">(a taxa mínima que ele exige/paga pelo capital), e não pela taxa do empreendimento. Na planilha da Verônica essa taxa é a</w:t>
      </w:r>
      <w:r>
        <w:t xml:space="preserve"> </w:t>
      </w:r>
      <w:r>
        <w:t xml:space="preserve">“</w:t>
      </w:r>
      <w:r>
        <w:t xml:space="preserve">TMA Custo</w:t>
      </w:r>
      <w:r>
        <w:t xml:space="preserve">”</w:t>
      </w:r>
      <w:r>
        <w:t xml:space="preserve"> </w:t>
      </w:r>
      <w:r>
        <w:t xml:space="preserve">=</w:t>
      </w:r>
      <w:r>
        <w:t xml:space="preserve"> </w:t>
      </w:r>
      <w:r>
        <w:rPr>
          <w:bCs/>
          <w:b/>
        </w:rPr>
        <w:t xml:space="preserve">14,30% a.a.</w:t>
      </w:r>
      <w:r>
        <w:t xml:space="preserve"> </w:t>
      </w:r>
      <w:r>
        <w:t xml:space="preserve">(equivalente a</w:t>
      </w:r>
      <w:r>
        <w:t xml:space="preserve"> </w:t>
      </w:r>
      <w:r>
        <w:rPr>
          <w:bCs/>
          <w:b/>
        </w:rPr>
        <w:t xml:space="preserve">1,12% a.m.</w:t>
      </w:r>
      <w:r>
        <w:t xml:space="preserve"> </w:t>
      </w:r>
      <w:r>
        <w:t xml:space="preserve">composto).</w:t>
      </w:r>
    </w:p>
    <w:p>
      <w:pPr>
        <w:pStyle w:val="BodyText"/>
      </w:pPr>
      <w:r>
        <w:t xml:space="preserve">Consequência prática: descontando pela WACC do projeto, o</w:t>
      </w:r>
      <w:r>
        <w:t xml:space="preserve"> </w:t>
      </w:r>
      <w:r>
        <w:rPr>
          <w:bCs/>
          <w:b/>
        </w:rPr>
        <w:t xml:space="preserve">cenário ZPQ apresentava VPL negativo</w:t>
      </w:r>
      <w:r>
        <w:t xml:space="preserve"> </w:t>
      </w:r>
      <w:r>
        <w:t xml:space="preserve">indevidamente — o projeto parecia inviável para o investidor quando, pela taxa correta, não era.</w:t>
      </w:r>
    </w:p>
    <w:bookmarkEnd w:id="21"/>
    <w:bookmarkStart w:id="22" w:name="como-foi-resolvido"/>
    <w:p>
      <w:pPr>
        <w:pStyle w:val="Heading3"/>
      </w:pPr>
      <w:r>
        <w:t xml:space="preserve">Como foi resolvido</w:t>
      </w:r>
    </w:p>
    <w:p>
      <w:pPr>
        <w:numPr>
          <w:ilvl w:val="0"/>
          <w:numId w:val="1001"/>
        </w:numPr>
      </w:pPr>
      <w:r>
        <w:t xml:space="preserve">Adicionado um</w:t>
      </w:r>
      <w:r>
        <w:t xml:space="preserve"> </w:t>
      </w:r>
      <w:r>
        <w:rPr>
          <w:bCs/>
          <w:b/>
        </w:rPr>
        <w:t xml:space="preserve">campo editável</w:t>
      </w:r>
      <w:r>
        <w:t xml:space="preserve"> </w:t>
      </w:r>
      <w:r>
        <w:t xml:space="preserve">na aba Capitalização: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TMA do Investidor — Custo de Capital (% a.a.)</w:t>
      </w:r>
      <w:r>
        <w:rPr>
          <w:bCs/>
          <w:b/>
        </w:rPr>
        <w:t xml:space="preserve">”</w:t>
      </w:r>
      <w:r>
        <w:t xml:space="preserve">, com</w:t>
      </w:r>
      <w:r>
        <w:t xml:space="preserve"> </w:t>
      </w:r>
      <w:r>
        <w:rPr>
          <w:bCs/>
          <w:b/>
        </w:rPr>
        <w:t xml:space="preserve">default 14,30% a.a.</w:t>
      </w:r>
      <w:r>
        <w:t xml:space="preserve"> </w:t>
      </w:r>
      <w:r>
        <w:t xml:space="preserve">(valor da planilha), mostrando ao lado o</w:t>
      </w:r>
      <w:r>
        <w:t xml:space="preserve"> </w:t>
      </w:r>
      <w:r>
        <w:rPr>
          <w:bCs/>
          <w:b/>
        </w:rPr>
        <w:t xml:space="preserve">equivalente mensal</w:t>
      </w:r>
      <w:r>
        <w:t xml:space="preserve"> </w:t>
      </w:r>
      <w:r>
        <w:t xml:space="preserve">calculado em tempo real.</w:t>
      </w:r>
    </w:p>
    <w:p>
      <w:pPr>
        <w:numPr>
          <w:ilvl w:val="0"/>
          <w:numId w:val="1001"/>
        </w:numPr>
      </w:pPr>
      <w:r>
        <w:t xml:space="preserve">O valor é</w:t>
      </w:r>
      <w:r>
        <w:t xml:space="preserve"> </w:t>
      </w:r>
      <w:r>
        <w:rPr>
          <w:bCs/>
          <w:b/>
        </w:rPr>
        <w:t xml:space="preserve">persistido por projeto</w:t>
      </w:r>
      <w:r>
        <w:t xml:space="preserve"> </w:t>
      </w:r>
      <w:r>
        <w:t xml:space="preserve">no banco, no campo</w:t>
      </w:r>
      <w:r>
        <w:t xml:space="preserve"> </w:t>
      </w:r>
      <w:r>
        <w:rPr>
          <w:rStyle w:val="VerbatimChar"/>
        </w:rPr>
        <w:t xml:space="preserve">capitalizacao.tma_investidor</w:t>
      </w:r>
      <w:r>
        <w:t xml:space="preserve"> </w:t>
      </w:r>
      <w:r>
        <w:t xml:space="preserve">— cada empreendimento pode ter a sua taxa.</w:t>
      </w:r>
    </w:p>
    <w:p>
      <w:pPr>
        <w:numPr>
          <w:ilvl w:val="0"/>
          <w:numId w:val="1001"/>
        </w:numPr>
      </w:pPr>
      <w:r>
        <w:t xml:space="preserve">As funções</w:t>
      </w:r>
      <w:r>
        <w:t xml:space="preserve"> </w:t>
      </w:r>
      <w:r>
        <w:rPr>
          <w:rStyle w:val="VerbatimChar"/>
        </w:rPr>
        <w:t xml:space="preserve">calcularIndicadoresCotas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calcularIndicadoresAcionista</w:t>
      </w:r>
      <w:r>
        <w:t xml:space="preserve"> </w:t>
      </w:r>
      <w:r>
        <w:t xml:space="preserve">passaram a descontar</w:t>
      </w:r>
      <w:r>
        <w:t xml:space="preserve"> </w:t>
      </w:r>
      <w:r>
        <w:rPr>
          <w:bCs/>
          <w:b/>
        </w:rPr>
        <w:t xml:space="preserve">VPL e viabilidade pela TMA do investidor</w:t>
      </w:r>
      <w:r>
        <w:t xml:space="preserve">, não mais pela</w:t>
      </w:r>
      <w:r>
        <w:t xml:space="preserve"> </w:t>
      </w:r>
      <w:r>
        <w:rPr>
          <w:rStyle w:val="VerbatimChar"/>
        </w:rPr>
        <w:t xml:space="preserve">indicadoresProjeto.tma</w:t>
      </w:r>
      <w:r>
        <w:t xml:space="preserve">:</w:t>
      </w:r>
    </w:p>
    <w:p>
      <w:pPr>
        <w:numPr>
          <w:ilvl w:val="0"/>
          <w:numId w:val="1000"/>
        </w:numPr>
        <w:pStyle w:val="SourceCode"/>
      </w:pPr>
      <w:r>
        <w:rPr>
          <w:rStyle w:val="CommentTok"/>
        </w:rPr>
        <w:t xml:space="preserve">// Antes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tir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calcularTIR</w:t>
      </w:r>
      <w:r>
        <w:rPr>
          <w:rStyle w:val="NormalTok"/>
        </w:rPr>
        <w:t xml:space="preserve">(fluxosTIR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indicadoresProjeto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tma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vpl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calcularVPL</w:t>
      </w:r>
      <w:r>
        <w:rPr>
          <w:rStyle w:val="NormalTok"/>
        </w:rPr>
        <w:t xml:space="preserve">(fluxosTIR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indicadoresProjeto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tma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Depois — desconta pelo custo de capital do INVESTIDOR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tmaInvestidor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investorTMARef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current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tir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calcularTIR</w:t>
      </w:r>
      <w:r>
        <w:rPr>
          <w:rStyle w:val="NormalTok"/>
        </w:rPr>
        <w:t xml:space="preserve">(fluxosTIR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tmaInvestidor)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vpl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calcularVPL</w:t>
      </w:r>
      <w:r>
        <w:rPr>
          <w:rStyle w:val="NormalTok"/>
        </w:rPr>
        <w:t xml:space="preserve">(fluxosTIR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tmaInvestidor)</w:t>
      </w:r>
      <w:r>
        <w:rPr>
          <w:rStyle w:val="OperatorTok"/>
        </w:rPr>
        <w:t xml:space="preserve">;</w:t>
      </w:r>
    </w:p>
    <w:p>
      <w:pPr>
        <w:numPr>
          <w:ilvl w:val="0"/>
          <w:numId w:val="1001"/>
        </w:numPr>
      </w:pPr>
      <w:r>
        <w:t xml:space="preserve">Detalhe técnico importante: foi usada uma</w:t>
      </w:r>
      <w:r>
        <w:t xml:space="preserve"> </w:t>
      </w:r>
      <w:r>
        <w:rPr>
          <w:rStyle w:val="VerbatimChar"/>
          <w:bCs/>
          <w:b/>
        </w:rPr>
        <w:t xml:space="preserve">useRef</w:t>
      </w:r>
      <w:r>
        <w:rPr>
          <w:bCs/>
          <w:b/>
        </w:rPr>
        <w:t xml:space="preserve"> </w:t>
      </w:r>
      <w:r>
        <w:rPr>
          <w:bCs/>
          <w:b/>
        </w:rPr>
        <w:t xml:space="preserve">(</w:t>
      </w:r>
      <w:r>
        <w:rPr>
          <w:rStyle w:val="VerbatimChar"/>
          <w:bCs/>
          <w:b/>
        </w:rPr>
        <w:t xml:space="preserve">investorTMARef</w:t>
      </w:r>
      <w:r>
        <w:rPr>
          <w:bCs/>
          <w:b/>
        </w:rPr>
        <w:t xml:space="preserve">)</w:t>
      </w:r>
      <w:r>
        <w:t xml:space="preserve"> </w:t>
      </w:r>
      <w:r>
        <w:t xml:space="preserve">sincronizada com o estado. Motivo: os cálculos rodam de forma síncrona durante a carga inicial da página,</w:t>
      </w:r>
      <w:r>
        <w:t xml:space="preserve"> </w:t>
      </w:r>
      <w:r>
        <w:rPr>
          <w:bCs/>
          <w:b/>
        </w:rPr>
        <w:t xml:space="preserve">antes</w:t>
      </w:r>
      <w:r>
        <w:t xml:space="preserve"> </w:t>
      </w:r>
      <w:r>
        <w:t xml:space="preserve">de o</w:t>
      </w:r>
      <w:r>
        <w:t xml:space="preserve"> </w:t>
      </w:r>
      <w:r>
        <w:rPr>
          <w:rStyle w:val="VerbatimChar"/>
        </w:rPr>
        <w:t xml:space="preserve">setState</w:t>
      </w:r>
      <w:r>
        <w:t xml:space="preserve"> </w:t>
      </w:r>
      <w:r>
        <w:t xml:space="preserve">da TMA propagar para o closure das funções de indicadores. Sem a ref, o primeiro cálculo usaria a taxa antiga. A ref é atualizada explicitamente antes de cada rodada de cálculo, garantindo o valor correto independentemente da ordem dos</w:t>
      </w:r>
      <w:r>
        <w:t xml:space="preserve"> </w:t>
      </w:r>
      <w:r>
        <w:rPr>
          <w:rStyle w:val="VerbatimChar"/>
        </w:rPr>
        <w:t xml:space="preserve">useEffect</w:t>
      </w:r>
      <w:r>
        <w:t xml:space="preserve">.</w:t>
      </w:r>
    </w:p>
    <w:bookmarkEnd w:id="22"/>
    <w:bookmarkStart w:id="23" w:name="resultado"/>
    <w:p>
      <w:pPr>
        <w:pStyle w:val="Heading3"/>
      </w:pPr>
      <w:r>
        <w:t xml:space="preserve">Resultado</w:t>
      </w:r>
    </w:p>
    <w:p>
      <w:pPr>
        <w:numPr>
          <w:ilvl w:val="0"/>
          <w:numId w:val="1002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TIR não muda</w:t>
      </w:r>
      <w:r>
        <w:t xml:space="preserve"> </w:t>
      </w:r>
      <w:r>
        <w:t xml:space="preserve">(é IRR, independe da taxa de desconto).</w:t>
      </w:r>
    </w:p>
    <w:p>
      <w:pPr>
        <w:numPr>
          <w:ilvl w:val="0"/>
          <w:numId w:val="1002"/>
        </w:numPr>
        <w:pStyle w:val="Compact"/>
      </w:pPr>
      <w:r>
        <w:t xml:space="preserve">O</w:t>
      </w:r>
      <w:r>
        <w:t xml:space="preserve"> </w:t>
      </w:r>
      <w:r>
        <w:rPr>
          <w:bCs/>
          <w:b/>
        </w:rPr>
        <w:t xml:space="preserve">VPL passa a refletir o retorno real do investidor</w:t>
      </w:r>
      <w:r>
        <w:t xml:space="preserve">; o VPL negativo espúrio do cenário ZPQ foi corrigido.</w:t>
      </w:r>
    </w:p>
    <w:p>
      <w:pPr>
        <w:numPr>
          <w:ilvl w:val="0"/>
          <w:numId w:val="1002"/>
        </w:numPr>
        <w:pStyle w:val="Compact"/>
      </w:pPr>
      <w:r>
        <w:t xml:space="preserve">O admin pode ajustar a taxa projeto a projeto sem tocar em código.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Xacaf10bb443477633e4d516025cf0a7a96dbdbb"/>
    <w:p>
      <w:pPr>
        <w:pStyle w:val="Heading2"/>
      </w:pPr>
      <w:r>
        <w:t xml:space="preserve">Correção 2 — Permuta Física: custos</w:t>
      </w:r>
      <w:r>
        <w:t xml:space="preserve"> </w:t>
      </w:r>
      <w:r>
        <w:t xml:space="preserve">“</w:t>
      </w:r>
      <w:r>
        <w:t xml:space="preserve">AMBOS</w:t>
      </w:r>
      <w:r>
        <w:t xml:space="preserve">”</w:t>
      </w:r>
      <w:r>
        <w:t xml:space="preserve"> </w:t>
      </w:r>
      <w:r>
        <w:t xml:space="preserve">respeitando a participação (55/45)</w:t>
      </w:r>
    </w:p>
    <w:bookmarkStart w:id="25" w:name="o-problema-1"/>
    <w:p>
      <w:pPr>
        <w:pStyle w:val="Heading3"/>
      </w:pPr>
      <w:r>
        <w:t xml:space="preserve">O problema</w:t>
      </w:r>
    </w:p>
    <w:p>
      <w:pPr>
        <w:pStyle w:val="FirstParagraph"/>
      </w:pPr>
      <w:r>
        <w:t xml:space="preserve">Na</w:t>
      </w:r>
      <w:r>
        <w:t xml:space="preserve"> </w:t>
      </w:r>
      <w:r>
        <w:rPr>
          <w:bCs/>
          <w:b/>
        </w:rPr>
        <w:t xml:space="preserve">Permuta Física</w:t>
      </w:r>
      <w:r>
        <w:t xml:space="preserve">, os lançamentos de custo marcados como responsabilidade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AMBOS</w:t>
      </w:r>
      <w:r>
        <w:rPr>
          <w:bCs/>
          <w:b/>
        </w:rPr>
        <w:t xml:space="preserve">”</w:t>
      </w:r>
      <w:r>
        <w:t xml:space="preserve"> </w:t>
      </w:r>
      <w:r>
        <w:t xml:space="preserve">(rateados entre empreendedor e terrenista) estavam sendo divididos</w:t>
      </w:r>
      <w:r>
        <w:t xml:space="preserve"> </w:t>
      </w:r>
      <w:r>
        <w:rPr>
          <w:bCs/>
          <w:b/>
        </w:rPr>
        <w:t xml:space="preserve">50/50</w:t>
      </w:r>
      <w:r>
        <w:t xml:space="preserve"> </w:t>
      </w:r>
      <w:r>
        <w:t xml:space="preserve">— ou pior,</w:t>
      </w:r>
      <w:r>
        <w:t xml:space="preserve"> </w:t>
      </w:r>
      <w:r>
        <w:rPr>
          <w:bCs/>
          <w:b/>
        </w:rPr>
        <w:t xml:space="preserve">sumindo do fluxo</w:t>
      </w:r>
      <w:r>
        <w:t xml:space="preserve">.</w:t>
      </w:r>
    </w:p>
    <w:p>
      <w:pPr>
        <w:pStyle w:val="BodyText"/>
      </w:pPr>
      <w:r>
        <w:t xml:space="preserve">A causa raiz: os calculadores de fluxo liam a participação de</w:t>
      </w:r>
      <w:r>
        <w:t xml:space="preserve"> </w:t>
      </w:r>
      <w:r>
        <w:rPr>
          <w:rStyle w:val="VerbatimChar"/>
        </w:rPr>
        <w:t xml:space="preserve">negociacaoArea.participacao</w:t>
      </w:r>
      <w:r>
        <w:t xml:space="preserve">, mas na Permuta Física esse campo fica em</w:t>
      </w:r>
      <w:r>
        <w:t xml:space="preserve"> </w:t>
      </w:r>
      <w:r>
        <w:rPr>
          <w:rStyle w:val="VerbatimChar"/>
          <w:bCs/>
          <w:b/>
        </w:rPr>
        <w:t xml:space="preserve">permuta_fisica.participacao</w:t>
      </w:r>
      <w:r>
        <w:t xml:space="preserve"> </w:t>
      </w:r>
      <w:r>
        <w:t xml:space="preserve">(default</w:t>
      </w:r>
      <w:r>
        <w:t xml:space="preserve"> </w:t>
      </w:r>
      <w:r>
        <w:rPr>
          <w:bCs/>
          <w:b/>
        </w:rPr>
        <w:t xml:space="preserve">55/45</w:t>
      </w:r>
      <w:r>
        <w:t xml:space="preserve">). Como o campo lido estava vazio:</w:t>
      </w:r>
    </w:p>
    <w:p>
      <w:pPr>
        <w:numPr>
          <w:ilvl w:val="0"/>
          <w:numId w:val="1003"/>
        </w:numPr>
        <w:pStyle w:val="Compact"/>
      </w:pPr>
      <w:r>
        <w:t xml:space="preserve">Em</w:t>
      </w:r>
      <w:r>
        <w:t xml:space="preserve"> </w:t>
      </w:r>
      <w:r>
        <w:rPr>
          <w:rStyle w:val="VerbatimChar"/>
        </w:rPr>
        <w:t xml:space="preserve">fluxo-caixa-calculator.js</w:t>
      </w:r>
      <w:r>
        <w:t xml:space="preserve"> </w:t>
      </w:r>
      <w:r>
        <w:t xml:space="preserve">(custos de</w:t>
      </w:r>
      <w:r>
        <w:t xml:space="preserve"> </w:t>
      </w:r>
      <w:r>
        <w:rPr>
          <w:bCs/>
          <w:b/>
        </w:rPr>
        <w:t xml:space="preserve">projetos</w:t>
      </w:r>
      <w:r>
        <w:t xml:space="preserve"> </w:t>
      </w:r>
      <w:r>
        <w:t xml:space="preserve">“</w:t>
      </w:r>
      <w:r>
        <w:t xml:space="preserve">AMBOS</w:t>
      </w:r>
      <w:r>
        <w:t xml:space="preserve">”</w:t>
      </w:r>
      <w:r>
        <w:t xml:space="preserve">): caía no</w:t>
      </w:r>
      <w:r>
        <w:t xml:space="preserve"> </w:t>
      </w:r>
      <w:r>
        <w:rPr>
          <w:bCs/>
          <w:b/>
        </w:rPr>
        <w:t xml:space="preserve">fallback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valor / 2</w:t>
      </w:r>
      <w:r>
        <w:t xml:space="preserve"> </w:t>
      </w:r>
      <w:r>
        <w:t xml:space="preserve">→ rateio 50/50 errado.</w:t>
      </w:r>
    </w:p>
    <w:p>
      <w:pPr>
        <w:numPr>
          <w:ilvl w:val="0"/>
          <w:numId w:val="1003"/>
        </w:numPr>
        <w:pStyle w:val="Compact"/>
      </w:pPr>
      <w:r>
        <w:t xml:space="preserve">Em</w:t>
      </w:r>
      <w:r>
        <w:t xml:space="preserve"> </w:t>
      </w:r>
      <w:r>
        <w:rPr>
          <w:rStyle w:val="VerbatimChar"/>
        </w:rPr>
        <w:t xml:space="preserve">fluxo-caixa-calculator-part2.js</w:t>
      </w:r>
      <w:r>
        <w:t xml:space="preserve"> </w:t>
      </w:r>
      <w:r>
        <w:t xml:space="preserve">(</w:t>
      </w:r>
      <w:r>
        <w:rPr>
          <w:bCs/>
          <w:b/>
        </w:rPr>
        <w:t xml:space="preserve">demais custos/outras despesas</w:t>
      </w:r>
      <w:r>
        <w:t xml:space="preserve"> </w:t>
      </w:r>
      <w:r>
        <w:t xml:space="preserve">“</w:t>
      </w:r>
      <w:r>
        <w:t xml:space="preserve">AMBOS</w:t>
      </w:r>
      <w:r>
        <w:t xml:space="preserve">”</w:t>
      </w:r>
      <w:r>
        <w:t xml:space="preserve">): o percentual virava</w:t>
      </w:r>
      <w:r>
        <w:t xml:space="preserve"> </w:t>
      </w:r>
      <w:r>
        <w:rPr>
          <w:bCs/>
          <w:b/>
        </w:rPr>
        <w:t xml:space="preserve">0</w:t>
      </w:r>
      <w:r>
        <w:t xml:space="preserve"> </w:t>
      </w:r>
      <w:r>
        <w:t xml:space="preserve">→ o custo era multiplicado por zero e</w:t>
      </w:r>
      <w:r>
        <w:t xml:space="preserve"> </w:t>
      </w:r>
      <w:r>
        <w:rPr>
          <w:bCs/>
          <w:b/>
        </w:rPr>
        <w:t xml:space="preserve">desaparecia do fluxo</w:t>
      </w:r>
      <w:r>
        <w:t xml:space="preserve">.</w:t>
      </w:r>
    </w:p>
    <w:p>
      <w:pPr>
        <w:pStyle w:val="FirstParagraph"/>
      </w:pPr>
      <w:r>
        <w:t xml:space="preserve">A parte</w:t>
      </w:r>
      <w:r>
        <w:t xml:space="preserve"> </w:t>
      </w:r>
      <w:r>
        <w:rPr>
          <w:bCs/>
          <w:b/>
        </w:rPr>
        <w:t xml:space="preserve">Financeira</w:t>
      </w:r>
      <w:r>
        <w:t xml:space="preserve"> </w:t>
      </w:r>
      <w:r>
        <w:t xml:space="preserve">já estava correta; o bug era só nos dois calculadores de fluxo.</w:t>
      </w:r>
    </w:p>
    <w:bookmarkEnd w:id="25"/>
    <w:bookmarkStart w:id="26" w:name="como-foi-resolvido-1"/>
    <w:p>
      <w:pPr>
        <w:pStyle w:val="Heading3"/>
      </w:pPr>
      <w:r>
        <w:t xml:space="preserve">Como foi resolvido</w:t>
      </w:r>
    </w:p>
    <w:p>
      <w:pPr>
        <w:pStyle w:val="FirstParagraph"/>
      </w:pPr>
      <w:r>
        <w:t xml:space="preserve">Ambos os arquivos passaram a</w:t>
      </w:r>
      <w:r>
        <w:t xml:space="preserve"> </w:t>
      </w:r>
      <w:r>
        <w:rPr>
          <w:bCs/>
          <w:b/>
        </w:rPr>
        <w:t xml:space="preserve">ler primeiro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permuta_fisica.participacao</w:t>
      </w:r>
      <w:r>
        <w:t xml:space="preserve">, com fallback para o campo legado e, por fim, para o default 55/45:</w:t>
      </w:r>
    </w:p>
    <w:p>
      <w:pPr>
        <w:pStyle w:val="SourceCode"/>
      </w:pPr>
      <w:r>
        <w:rPr>
          <w:rStyle w:val="CommentTok"/>
        </w:rPr>
        <w:t xml:space="preserve">// fluxo-caixa-calculator.js — custos de PROJETOS "AMBOS" na permuta física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(negociacaoArea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tipo_negociacao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'PERMUTA_FISICA'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pctEmp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permuta_fisica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empreendedor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empreendedor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pctTer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permuta_fisica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terrenista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terrenista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(viewMode </w:t>
      </w:r>
      <w:r>
        <w:rPr>
          <w:rStyle w:val="OperatorTok"/>
        </w:rPr>
        <w:t xml:space="preserve">===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'EMPREENDEDOR'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valor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pctEmp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(viewMode </w:t>
      </w:r>
      <w:r>
        <w:rPr>
          <w:rStyle w:val="OperatorTok"/>
        </w:rPr>
        <w:t xml:space="preserve">===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'TERRENISTA'</w:t>
      </w:r>
      <w:r>
        <w:rPr>
          <w:rStyle w:val="NormalTok"/>
        </w:rPr>
        <w:t xml:space="preserve">)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valor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pctTer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SourceCode"/>
      </w:pPr>
      <w:r>
        <w:rPr>
          <w:rStyle w:val="CommentTok"/>
        </w:rPr>
        <w:t xml:space="preserve">// fluxo-caixa-calculator-part2.js — demais custos "AMBOS"</w:t>
      </w:r>
      <w:r>
        <w:br/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'PERMUTA_FISICA'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percentualEmpreendedor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permuta_fisica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empreendedor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empreendedor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percentualTerrenista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permuta_fisica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terrenista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negociacaoArea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participacao</w:t>
      </w:r>
      <w:r>
        <w:rPr>
          <w:rStyle w:val="OperatorTok"/>
        </w:rPr>
        <w:t xml:space="preserve">?.</w:t>
      </w:r>
      <w:r>
        <w:rPr>
          <w:rStyle w:val="AttributeTok"/>
        </w:rPr>
        <w:t xml:space="preserve">terrenista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</w:p>
    <w:bookmarkEnd w:id="26"/>
    <w:bookmarkStart w:id="27" w:name="resultado-1"/>
    <w:p>
      <w:pPr>
        <w:pStyle w:val="Heading3"/>
      </w:pPr>
      <w:r>
        <w:t xml:space="preserve">Resultado</w:t>
      </w:r>
    </w:p>
    <w:p>
      <w:pPr>
        <w:numPr>
          <w:ilvl w:val="0"/>
          <w:numId w:val="1004"/>
        </w:numPr>
        <w:pStyle w:val="Compact"/>
      </w:pPr>
      <w:r>
        <w:t xml:space="preserve">Custos</w:t>
      </w:r>
      <w:r>
        <w:t xml:space="preserve"> </w:t>
      </w:r>
      <w:r>
        <w:t xml:space="preserve">“</w:t>
      </w:r>
      <w:r>
        <w:t xml:space="preserve">AMBOS</w:t>
      </w:r>
      <w:r>
        <w:t xml:space="preserve">”</w:t>
      </w:r>
      <w:r>
        <w:t xml:space="preserve"> </w:t>
      </w:r>
      <w:r>
        <w:t xml:space="preserve">(projetos</w:t>
      </w:r>
      <w:r>
        <w:t xml:space="preserve"> </w:t>
      </w:r>
      <w:r>
        <w:rPr>
          <w:bCs/>
          <w:b/>
        </w:rPr>
        <w:t xml:space="preserve">e</w:t>
      </w:r>
      <w:r>
        <w:t xml:space="preserve"> </w:t>
      </w:r>
      <w:r>
        <w:t xml:space="preserve">outras despesas) passam a respeitar a</w:t>
      </w:r>
      <w:r>
        <w:t xml:space="preserve"> </w:t>
      </w:r>
      <w:r>
        <w:rPr>
          <w:bCs/>
          <w:b/>
        </w:rPr>
        <w:t xml:space="preserve">participação real do projeto</w:t>
      </w:r>
      <w:r>
        <w:t xml:space="preserve"> </w:t>
      </w:r>
      <w:r>
        <w:t xml:space="preserve">(55/45 por padrão, ou o que estiver configurado).</w:t>
      </w:r>
    </w:p>
    <w:p>
      <w:pPr>
        <w:numPr>
          <w:ilvl w:val="0"/>
          <w:numId w:val="1004"/>
        </w:numPr>
        <w:pStyle w:val="Compact"/>
      </w:pPr>
      <w:r>
        <w:t xml:space="preserve">Nenhum custo some mais do fluxo — os valores voltam a bater com a planilha.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2" w:name="X82b1cb37b41f898e900112f9178e4244098ed5d"/>
    <w:p>
      <w:pPr>
        <w:pStyle w:val="Heading2"/>
      </w:pPr>
      <w:r>
        <w:t xml:space="preserve">Correção 3 — Cotas: colunas Receitas/Despesas com o bruto proporcional da cota</w:t>
      </w:r>
    </w:p>
    <w:bookmarkStart w:id="29" w:name="o-problema-2"/>
    <w:p>
      <w:pPr>
        <w:pStyle w:val="Heading3"/>
      </w:pPr>
      <w:r>
        <w:t xml:space="preserve">O problema</w:t>
      </w:r>
    </w:p>
    <w:p>
      <w:pPr>
        <w:pStyle w:val="FirstParagraph"/>
      </w:pPr>
      <w:r>
        <w:t xml:space="preserve">Na tabela do</w:t>
      </w:r>
      <w:r>
        <w:t xml:space="preserve"> </w:t>
      </w:r>
      <w:r>
        <w:rPr>
          <w:bCs/>
          <w:b/>
        </w:rPr>
        <w:t xml:space="preserve">Fluxo de Caixa do Investidor</w:t>
      </w:r>
      <w:r>
        <w:t xml:space="preserve"> </w:t>
      </w:r>
      <w:r>
        <w:t xml:space="preserve">(modalidade de cotas), as colunas</w:t>
      </w:r>
      <w:r>
        <w:t xml:space="preserve"> </w:t>
      </w:r>
      <w:r>
        <w:rPr>
          <w:bCs/>
          <w:b/>
        </w:rPr>
        <w:t xml:space="preserve">Receitas</w:t>
      </w:r>
      <w:r>
        <w:t xml:space="preserve"> </w:t>
      </w:r>
      <w:r>
        <w:t xml:space="preserve">e</w:t>
      </w:r>
      <w:r>
        <w:t xml:space="preserve"> </w:t>
      </w:r>
      <w:r>
        <w:rPr>
          <w:bCs/>
          <w:b/>
        </w:rPr>
        <w:t xml:space="preserve">Despesas</w:t>
      </w:r>
      <w:r>
        <w:t xml:space="preserve"> </w:t>
      </w:r>
      <w:r>
        <w:t xml:space="preserve">mostravam apenas o</w:t>
      </w:r>
      <w:r>
        <w:t xml:space="preserve"> </w:t>
      </w:r>
      <w:r>
        <w:rPr>
          <w:bCs/>
          <w:b/>
        </w:rPr>
        <w:t xml:space="preserve">líquido</w:t>
      </w:r>
      <w:r>
        <w:t xml:space="preserve"> </w:t>
      </w:r>
      <w:r>
        <w:t xml:space="preserve">— normalmente a distribuição paga (receitas) e a aquisição da cota (despesas), com a maioria dos meses</w:t>
      </w:r>
      <w:r>
        <w:t xml:space="preserve"> </w:t>
      </w:r>
      <w:r>
        <w:rPr>
          <w:bCs/>
          <w:b/>
        </w:rPr>
        <w:t xml:space="preserve">zerada</w:t>
      </w:r>
      <w:r>
        <w:t xml:space="preserve">. Não refletiam a estrutura da planilha da Verônica (</w:t>
      </w:r>
      <w:r>
        <w:t xml:space="preserve">“</w:t>
      </w:r>
      <w:r>
        <w:t xml:space="preserve">Fluxo de Caixa Investidor</w:t>
      </w:r>
      <w:r>
        <w:t xml:space="preserve">”</w:t>
      </w:r>
      <w:r>
        <w:t xml:space="preserve">), onde: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Receitas</w:t>
      </w:r>
      <w:r>
        <w:t xml:space="preserve"> </w:t>
      </w:r>
      <w:r>
        <w:t xml:space="preserve">= receita</w:t>
      </w:r>
      <w:r>
        <w:t xml:space="preserve"> </w:t>
      </w:r>
      <w:r>
        <w:rPr>
          <w:bCs/>
          <w:b/>
        </w:rPr>
        <w:t xml:space="preserve">bruta</w:t>
      </w:r>
      <w:r>
        <w:t xml:space="preserve"> </w:t>
      </w:r>
      <w:r>
        <w:t xml:space="preserve">da cota (o % do investidor sobre a receita do projeto);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Despesas</w:t>
      </w:r>
      <w:r>
        <w:t xml:space="preserve"> </w:t>
      </w:r>
      <w:r>
        <w:t xml:space="preserve">= despesa</w:t>
      </w:r>
      <w:r>
        <w:t xml:space="preserve"> </w:t>
      </w:r>
      <w:r>
        <w:rPr>
          <w:bCs/>
          <w:b/>
        </w:rPr>
        <w:t xml:space="preserve">bruta</w:t>
      </w:r>
      <w:r>
        <w:t xml:space="preserve"> </w:t>
      </w:r>
      <w:r>
        <w:t xml:space="preserve">da cota (o % sobre a despesa do projeto)</w:t>
      </w:r>
      <w:r>
        <w:t xml:space="preserve"> </w:t>
      </w:r>
      <w:r>
        <w:rPr>
          <w:bCs/>
          <w:b/>
        </w:rPr>
        <w:t xml:space="preserve">+</w:t>
      </w:r>
      <w:r>
        <w:t xml:space="preserve"> </w:t>
      </w:r>
      <w:r>
        <w:t xml:space="preserve">a aquisição da cota.</w:t>
      </w:r>
    </w:p>
    <w:bookmarkEnd w:id="29"/>
    <w:bookmarkStart w:id="30" w:name="como-foi-resolvido-2"/>
    <w:p>
      <w:pPr>
        <w:pStyle w:val="Heading3"/>
      </w:pPr>
      <w:r>
        <w:t xml:space="preserve">Como foi resolvido</w:t>
      </w:r>
    </w:p>
    <w:p>
      <w:pPr>
        <w:pStyle w:val="FirstParagraph"/>
      </w:pPr>
      <w:r>
        <w:t xml:space="preserve">As colunas passaram a exibir o</w:t>
      </w:r>
      <w:r>
        <w:t xml:space="preserve"> </w:t>
      </w:r>
      <w:r>
        <w:rPr>
          <w:bCs/>
          <w:b/>
        </w:rPr>
        <w:t xml:space="preserve">bruto proporcional</w:t>
      </w:r>
      <w:r>
        <w:t xml:space="preserve"> </w:t>
      </w:r>
      <w:r>
        <w:t xml:space="preserve">da cota, mantendo a identidade contábil intacta:</w:t>
      </w:r>
    </w:p>
    <w:p>
      <w:pPr>
        <w:pStyle w:val="BlockText"/>
      </w:pPr>
      <w:r>
        <w:rPr>
          <w:bCs/>
          <w:b/>
        </w:rPr>
        <w:t xml:space="preserve">Caixa Gerado = Receitas − Despesas = fluxo real do investidor no mês</w:t>
      </w:r>
    </w:p>
    <w:p>
      <w:pPr>
        <w:numPr>
          <w:ilvl w:val="0"/>
          <w:numId w:val="1006"/>
        </w:numPr>
        <w:pStyle w:val="Compact"/>
      </w:pPr>
      <w:r>
        <w:t xml:space="preserve">O investidor</w:t>
      </w:r>
      <w:r>
        <w:t xml:space="preserve"> </w:t>
      </w:r>
      <w:r>
        <w:rPr>
          <w:bCs/>
          <w:b/>
        </w:rPr>
        <w:t xml:space="preserve">só passa a suportar</w:t>
      </w:r>
      <w:r>
        <w:t xml:space="preserve"> </w:t>
      </w:r>
      <w:r>
        <w:t xml:space="preserve">receitas/despesas proporcionais</w:t>
      </w:r>
      <w:r>
        <w:t xml:space="preserve"> </w:t>
      </w:r>
      <w:r>
        <w:rPr>
          <w:bCs/>
          <w:b/>
        </w:rPr>
        <w:t xml:space="preserve">após a finalização da obra</w:t>
      </w:r>
      <w:r>
        <w:t xml:space="preserve"> </w:t>
      </w:r>
      <w:r>
        <w:t xml:space="preserve">(a partir de</w:t>
      </w:r>
      <w:r>
        <w:t xml:space="preserve"> </w:t>
      </w:r>
      <w:r>
        <w:rPr>
          <w:rStyle w:val="VerbatimChar"/>
        </w:rPr>
        <w:t xml:space="preserve">inicioPagamento</w:t>
      </w:r>
      <w:r>
        <w:t xml:space="preserve">). Durante a obra, as colunas ficam zeradas,</w:t>
      </w:r>
      <w:r>
        <w:t xml:space="preserve"> </w:t>
      </w:r>
      <w:r>
        <w:rPr>
          <w:bCs/>
          <w:b/>
        </w:rPr>
        <w:t xml:space="preserve">exceto</w:t>
      </w:r>
      <w:r>
        <w:t xml:space="preserve"> </w:t>
      </w:r>
      <w:r>
        <w:t xml:space="preserve">as parcelas de aquisição da cota.</w:t>
      </w:r>
    </w:p>
    <w:p>
      <w:pPr>
        <w:numPr>
          <w:ilvl w:val="0"/>
          <w:numId w:val="1006"/>
        </w:numPr>
        <w:pStyle w:val="Compact"/>
      </w:pPr>
      <w:r>
        <w:t xml:space="preserve">Quando há</w:t>
      </w:r>
      <w:r>
        <w:t xml:space="preserve"> </w:t>
      </w:r>
      <w:r>
        <w:rPr>
          <w:bCs/>
          <w:b/>
        </w:rPr>
        <w:t xml:space="preserve">caixa acumulado liberado no fim da obra</w:t>
      </w:r>
      <w:r>
        <w:t xml:space="preserve"> </w:t>
      </w:r>
      <w:r>
        <w:t xml:space="preserve">(exemplo 2 do docx), esse extra aparece</w:t>
      </w:r>
      <w:r>
        <w:t xml:space="preserve"> </w:t>
      </w:r>
      <w:r>
        <w:rPr>
          <w:bCs/>
          <w:b/>
        </w:rPr>
        <w:t xml:space="preserve">embutido na coluna Receitas</w:t>
      </w:r>
      <w:r>
        <w:t xml:space="preserve"> </w:t>
      </w:r>
      <w:r>
        <w:t xml:space="preserve">do mês da liberação, com uma linha de detalhamento própria (</w:t>
      </w:r>
      <w:r>
        <w:t xml:space="preserve">“</w:t>
      </w:r>
      <w:r>
        <w:t xml:space="preserve">Caixa acumulado (fim da obra)</w:t>
      </w:r>
      <w:r>
        <w:t xml:space="preserve">”</w:t>
      </w:r>
      <w:r>
        <w:t xml:space="preserve">), preservando a coerência do caixa.</w:t>
      </w:r>
    </w:p>
    <w:p>
      <w:pPr>
        <w:numPr>
          <w:ilvl w:val="0"/>
          <w:numId w:val="1006"/>
        </w:numPr>
        <w:pStyle w:val="Compact"/>
      </w:pPr>
      <w:r>
        <w:t xml:space="preserve">O detalhamento por mês passou a discriminar as linhas:</w:t>
      </w:r>
      <w:r>
        <w:t xml:space="preserve"> </w:t>
      </w:r>
      <w:r>
        <w:rPr>
          <w:rStyle w:val="VerbatimChar"/>
        </w:rPr>
        <w:t xml:space="preserve">Receita da Cota (X%)</w:t>
      </w:r>
      <w:r>
        <w:t xml:space="preserve">,</w:t>
      </w:r>
      <w:r>
        <w:t xml:space="preserve"> </w:t>
      </w:r>
      <w:r>
        <w:rPr>
          <w:rStyle w:val="VerbatimChar"/>
        </w:rPr>
        <w:t xml:space="preserve">Despesa da Cota (X%)</w:t>
      </w:r>
      <w:r>
        <w:t xml:space="preserve">,</w:t>
      </w:r>
      <w:r>
        <w:t xml:space="preserve"> </w:t>
      </w:r>
      <w:r>
        <w:rPr>
          <w:rStyle w:val="VerbatimChar"/>
        </w:rPr>
        <w:t xml:space="preserve">Aquisição da Cota</w:t>
      </w:r>
      <w:r>
        <w:t xml:space="preserve"> </w:t>
      </w:r>
      <w:r>
        <w:t xml:space="preserve">e, quando aplicável,</w:t>
      </w:r>
      <w:r>
        <w:t xml:space="preserve"> </w:t>
      </w:r>
      <w:r>
        <w:rPr>
          <w:rStyle w:val="VerbatimChar"/>
        </w:rPr>
        <w:t xml:space="preserve">Caixa acumulado (fim da obra)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const</w:t>
      </w:r>
      <w:r>
        <w:rPr>
          <w:rStyle w:val="NormalTok"/>
        </w:rPr>
        <w:t xml:space="preserve"> noRecebimento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mes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inicioPagamento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despesaCotaDisplay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noRecebimento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despesaCotaMes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despesasDisplay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despesaCotaDisplay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pagamentoCapitalizacao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receitasDisplay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fluxoInvestidorMes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despesasDisplay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garante Receitas − Despesas = caixa real</w:t>
      </w:r>
    </w:p>
    <w:bookmarkEnd w:id="30"/>
    <w:bookmarkStart w:id="31" w:name="resultado-2"/>
    <w:p>
      <w:pPr>
        <w:pStyle w:val="Heading3"/>
      </w:pPr>
      <w:r>
        <w:t xml:space="preserve">Resultado</w:t>
      </w:r>
    </w:p>
    <w:p>
      <w:pPr>
        <w:numPr>
          <w:ilvl w:val="0"/>
          <w:numId w:val="1007"/>
        </w:numPr>
        <w:pStyle w:val="Compact"/>
      </w:pPr>
      <w:r>
        <w:t xml:space="preserve">As colunas passam a</w:t>
      </w:r>
      <w:r>
        <w:t xml:space="preserve"> </w:t>
      </w:r>
      <w:r>
        <w:rPr>
          <w:bCs/>
          <w:b/>
        </w:rPr>
        <w:t xml:space="preserve">espelhar a planilha</w:t>
      </w:r>
      <w:r>
        <w:t xml:space="preserve"> </w:t>
      </w:r>
      <w:r>
        <w:t xml:space="preserve">(bruto proporcional), muito mais legíveis para o investidor.</w:t>
      </w:r>
    </w:p>
    <w:p>
      <w:pPr>
        <w:numPr>
          <w:ilvl w:val="0"/>
          <w:numId w:val="1007"/>
        </w:numPr>
        <w:pStyle w:val="Compact"/>
      </w:pPr>
      <w:r>
        <w:t xml:space="preserve">O</w:t>
      </w:r>
      <w:r>
        <w:t xml:space="preserve"> </w:t>
      </w:r>
      <w:r>
        <w:rPr>
          <w:bCs/>
          <w:b/>
        </w:rPr>
        <w:t xml:space="preserve">Caixa Gerado, a TIR e o VPL permanecem inalterados</w:t>
      </w:r>
      <w:r>
        <w:t xml:space="preserve"> </w:t>
      </w:r>
      <w:r>
        <w:t xml:space="preserve">— a mudança é de apresentação/coerência das colunas, não do fluxo financeiro real.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7" w:name="X358d15f3d35e169e5ce93f24c249012b1cae005"/>
    <w:p>
      <w:pPr>
        <w:pStyle w:val="Heading2"/>
      </w:pPr>
      <w:r>
        <w:t xml:space="preserve">Correção 4 — Cotas: distribuição começa no fim da obra, sem carregar as perdas da obra contra o investidor</w:t>
      </w:r>
    </w:p>
    <w:bookmarkStart w:id="33" w:name="o-problema-3"/>
    <w:p>
      <w:pPr>
        <w:pStyle w:val="Heading3"/>
      </w:pPr>
      <w:r>
        <w:t xml:space="preserve">O problema</w:t>
      </w:r>
    </w:p>
    <w:p>
      <w:pPr>
        <w:pStyle w:val="FirstParagraph"/>
      </w:pPr>
      <w:r>
        <w:t xml:space="preserve">Dois erros no</w:t>
      </w:r>
      <w:r>
        <w:t xml:space="preserve"> </w:t>
      </w:r>
      <w:r>
        <w:rPr>
          <w:bCs/>
          <w:b/>
        </w:rPr>
        <w:t xml:space="preserve">cronograma e nos valores</w:t>
      </w:r>
      <w:r>
        <w:t xml:space="preserve"> </w:t>
      </w:r>
      <w:r>
        <w:t xml:space="preserve">da distribuição da cota: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errada:</w:t>
      </w:r>
      <w:r>
        <w:t xml:space="preserve"> </w:t>
      </w:r>
      <w:r>
        <w:t xml:space="preserve">a primeira distribuição ao investidor estava saindo no</w:t>
      </w:r>
      <w:r>
        <w:t xml:space="preserve"> </w:t>
      </w:r>
      <w:r>
        <w:rPr>
          <w:bCs/>
          <w:b/>
        </w:rPr>
        <w:t xml:space="preserve">mês 82</w:t>
      </w:r>
      <w:r>
        <w:t xml:space="preserve">, quando deveria começar no</w:t>
      </w:r>
      <w:r>
        <w:t xml:space="preserve"> </w:t>
      </w:r>
      <w:r>
        <w:rPr>
          <w:bCs/>
          <w:b/>
        </w:rPr>
        <w:t xml:space="preserve">mês seguinte ao fim da obra (mês 75)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Perdas da obra carregadas indevidamente:</w:t>
      </w:r>
      <w:r>
        <w:t xml:space="preserve"> </w:t>
      </w:r>
      <w:r>
        <w:t xml:space="preserve">o acumulado da cota vinha carregando as</w:t>
      </w:r>
      <w:r>
        <w:t xml:space="preserve"> </w:t>
      </w:r>
      <w:r>
        <w:rPr>
          <w:bCs/>
          <w:b/>
        </w:rPr>
        <w:t xml:space="preserve">perdas do período de obra</w:t>
      </w:r>
      <w:r>
        <w:t xml:space="preserve"> </w:t>
      </w:r>
      <w:r>
        <w:t xml:space="preserve">contra o investidor. Mas, pela regra do docx,</w:t>
      </w:r>
      <w:r>
        <w:t xml:space="preserve"> </w:t>
      </w:r>
      <w:r>
        <w:rPr>
          <w:bCs/>
          <w:b/>
        </w:rPr>
        <w:t xml:space="preserve">durante a obra o investidor não aporta</w:t>
      </w:r>
      <w:r>
        <w:t xml:space="preserve"> </w:t>
      </w:r>
      <w:r>
        <w:t xml:space="preserve">— logo as perdas do período</w:t>
      </w:r>
      <w:r>
        <w:t xml:space="preserve"> </w:t>
      </w:r>
      <w:r>
        <w:rPr>
          <w:bCs/>
          <w:b/>
        </w:rPr>
        <w:t xml:space="preserve">não podem ser cobradas dele</w:t>
      </w:r>
      <w:r>
        <w:t xml:space="preserve">. Por outro lado, a</w:t>
      </w:r>
      <w:r>
        <w:t xml:space="preserve"> </w:t>
      </w:r>
      <w:r>
        <w:rPr>
          <w:bCs/>
          <w:b/>
        </w:rPr>
        <w:t xml:space="preserve">sobra</w:t>
      </w:r>
      <w:r>
        <w:t xml:space="preserve"> </w:t>
      </w:r>
      <w:r>
        <w:t xml:space="preserve">de caixa ao final da obra</w:t>
      </w:r>
      <w:r>
        <w:t xml:space="preserve"> </w:t>
      </w:r>
      <w:r>
        <w:rPr>
          <w:bCs/>
          <w:b/>
        </w:rPr>
        <w:t xml:space="preserve">pertence à cota</w:t>
      </w:r>
      <w:r>
        <w:t xml:space="preserve"> </w:t>
      </w:r>
      <w:r>
        <w:t xml:space="preserve">e deve ser distribuída no 1º mês de pagamento.</w:t>
      </w:r>
    </w:p>
    <w:bookmarkEnd w:id="33"/>
    <w:bookmarkStart w:id="34" w:name="como-foi-resolvido-3"/>
    <w:p>
      <w:pPr>
        <w:pStyle w:val="Heading3"/>
      </w:pPr>
      <w:r>
        <w:t xml:space="preserve">Como foi resolvido</w:t>
      </w:r>
    </w:p>
    <w:p>
      <w:pPr>
        <w:pStyle w:val="FirstParagraph"/>
      </w:pPr>
      <w:r>
        <w:t xml:space="preserve">Foi aplicado um</w:t>
      </w:r>
      <w:r>
        <w:t xml:space="preserve"> </w:t>
      </w:r>
      <w:r>
        <w:rPr>
          <w:bCs/>
          <w:b/>
        </w:rPr>
        <w:t xml:space="preserve">piso (</w:t>
      </w:r>
      <w:r>
        <w:rPr>
          <w:rStyle w:val="VerbatimChar"/>
          <w:bCs/>
          <w:b/>
        </w:rPr>
        <w:t xml:space="preserve">max(0, ·)</w:t>
      </w:r>
      <w:r>
        <w:rPr>
          <w:bCs/>
          <w:b/>
        </w:rPr>
        <w:t xml:space="preserve">) no acumulado da cota na virada da obra</w:t>
      </w:r>
      <w:r>
        <w:t xml:space="preserve">, exatamente no mês em que começa o pagamento ao investidor:</w:t>
      </w:r>
    </w:p>
    <w:p>
      <w:pPr>
        <w:pStyle w:val="SourceCode"/>
      </w:pPr>
      <w:r>
        <w:rPr>
          <w:rStyle w:val="CommentTok"/>
        </w:rPr>
        <w:t xml:space="preserve">// PISO DO FIM DA OBRA (regra do docx da Verônica)</w:t>
      </w:r>
      <w:r>
        <w:br/>
      </w:r>
      <w:r>
        <w:rPr>
          <w:rStyle w:val="CommentTok"/>
        </w:rPr>
        <w:t xml:space="preserve">// Durante a obra o investidor NÃO aporta → perdas do período não são carregadas contra ele.</w:t>
      </w:r>
      <w:r>
        <w:br/>
      </w:r>
      <w:r>
        <w:rPr>
          <w:rStyle w:val="CommentTok"/>
        </w:rPr>
        <w:t xml:space="preserve">// Sobra de caixa ao final da obra pertence à cota e é distribuída no 1º mês.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(item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mes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inicioPagamento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pisoObraAplicado) {</w:t>
      </w:r>
      <w:r>
        <w:br/>
      </w:r>
      <w:r>
        <w:rPr>
          <w:rStyle w:val="NormalTok"/>
        </w:rPr>
        <w:t xml:space="preserve">  entitlementAcum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entitlementAcum)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pisoObraAplicado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entitlementAcum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baseDistribuivelMes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Lógica do piso:</w:t>
      </w:r>
      <w:r>
        <w:t xml:space="preserve"> </w:t>
      </w:r>
      <w:r>
        <w:t xml:space="preserve">- Se o acumulado da obra ficou</w:t>
      </w:r>
      <w:r>
        <w:t xml:space="preserve"> </w:t>
      </w:r>
      <w:r>
        <w:rPr>
          <w:bCs/>
          <w:b/>
        </w:rPr>
        <w:t xml:space="preserve">negativo</w:t>
      </w:r>
      <w:r>
        <w:t xml:space="preserve"> </w:t>
      </w:r>
      <w:r>
        <w:t xml:space="preserve">(a obra consumiu caixa —</w:t>
      </w:r>
      <w:r>
        <w:t xml:space="preserve"> </w:t>
      </w:r>
      <w:r>
        <w:rPr>
          <w:bCs/>
          <w:b/>
        </w:rPr>
        <w:t xml:space="preserve">exemplo 1</w:t>
      </w:r>
      <w:r>
        <w:t xml:space="preserve"> </w:t>
      </w:r>
      <w:r>
        <w:t xml:space="preserve">da planilha), ele</w:t>
      </w:r>
      <w:r>
        <w:t xml:space="preserve"> </w:t>
      </w:r>
      <w:r>
        <w:rPr>
          <w:bCs/>
          <w:b/>
        </w:rPr>
        <w:t xml:space="preserve">zera</w:t>
      </w:r>
      <w:r>
        <w:t xml:space="preserve"> </w:t>
      </w:r>
      <w:r>
        <w:t xml:space="preserve">— a perda não é repassada ao investidor.</w:t>
      </w:r>
      <w:r>
        <w:t xml:space="preserve"> </w:t>
      </w:r>
      <w:r>
        <w:t xml:space="preserve">- Se ficou</w:t>
      </w:r>
      <w:r>
        <w:t xml:space="preserve"> </w:t>
      </w:r>
      <w:r>
        <w:rPr>
          <w:bCs/>
          <w:b/>
        </w:rPr>
        <w:t xml:space="preserve">positivo</w:t>
      </w:r>
      <w:r>
        <w:t xml:space="preserve"> </w:t>
      </w:r>
      <w:r>
        <w:t xml:space="preserve">(houve</w:t>
      </w:r>
      <w:r>
        <w:t xml:space="preserve"> </w:t>
      </w:r>
      <w:r>
        <w:rPr>
          <w:bCs/>
          <w:b/>
        </w:rPr>
        <w:t xml:space="preserve">sobra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exemplo 2</w:t>
      </w:r>
      <w:r>
        <w:t xml:space="preserve">), ele é</w:t>
      </w:r>
      <w:r>
        <w:t xml:space="preserve"> </w:t>
      </w:r>
      <w:r>
        <w:rPr>
          <w:bCs/>
          <w:b/>
        </w:rPr>
        <w:t xml:space="preserve">mantido</w:t>
      </w:r>
      <w:r>
        <w:t xml:space="preserve"> </w:t>
      </w:r>
      <w:r>
        <w:t xml:space="preserve">e distribuído no primeiro mês de pagamento.</w:t>
      </w:r>
    </w:p>
    <w:bookmarkEnd w:id="34"/>
    <w:bookmarkStart w:id="35" w:name="X370a9e29ba912caaacae747d72ad7b2b1f14827"/>
    <w:p>
      <w:pPr>
        <w:pStyle w:val="Heading3"/>
      </w:pPr>
      <w:r>
        <w:t xml:space="preserve">Validação (ao centavo, planilha da Verônica)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Exemplo 1 (sem sobra):</w:t>
      </w:r>
      <w:r>
        <w:t xml:space="preserve"> </w:t>
      </w:r>
      <w:r>
        <w:t xml:space="preserve">mês 75 → líquido</w:t>
      </w:r>
      <w:r>
        <w:t xml:space="preserve"> </w:t>
      </w:r>
      <w:r>
        <w:rPr>
          <w:bCs/>
          <w:b/>
        </w:rPr>
        <w:t xml:space="preserve">R$ 33.276,98</w:t>
      </w:r>
      <w:r>
        <w:t xml:space="preserve"> </w:t>
      </w:r>
      <w:r>
        <w:t xml:space="preserve">(receita R$ 36.618,93 − despesa R$ 3.341,95).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Exemplo 2 (com sobra):</w:t>
      </w:r>
      <w:r>
        <w:t xml:space="preserve"> </w:t>
      </w:r>
      <w:r>
        <w:t xml:space="preserve">mês 75 →</w:t>
      </w:r>
      <w:r>
        <w:t xml:space="preserve"> </w:t>
      </w:r>
      <w:r>
        <w:rPr>
          <w:bCs/>
          <w:b/>
        </w:rPr>
        <w:t xml:space="preserve">R$ 676.175,29</w:t>
      </w:r>
      <w:r>
        <w:t xml:space="preserve">, com receita R$ 680.803,05 (= B81 × 0,15 + 625.078,59).</w:t>
      </w:r>
    </w:p>
    <w:bookmarkEnd w:id="35"/>
    <w:bookmarkStart w:id="36" w:name="resultado-3"/>
    <w:p>
      <w:pPr>
        <w:pStyle w:val="Heading3"/>
      </w:pPr>
      <w:r>
        <w:t xml:space="preserve">Resultado</w:t>
      </w:r>
    </w:p>
    <w:p>
      <w:pPr>
        <w:numPr>
          <w:ilvl w:val="0"/>
          <w:numId w:val="1010"/>
        </w:numPr>
        <w:pStyle w:val="Compact"/>
      </w:pPr>
      <w:r>
        <w:t xml:space="preserve">A distribuição passa a</w:t>
      </w:r>
      <w:r>
        <w:t xml:space="preserve"> </w:t>
      </w:r>
      <w:r>
        <w:rPr>
          <w:bCs/>
          <w:b/>
        </w:rPr>
        <w:t xml:space="preserve">começar no mês 75</w:t>
      </w:r>
      <w:r>
        <w:t xml:space="preserve"> </w:t>
      </w:r>
      <w:r>
        <w:t xml:space="preserve">(mês seguinte ao fim da obra), como na planilha.</w:t>
      </w:r>
    </w:p>
    <w:p>
      <w:pPr>
        <w:numPr>
          <w:ilvl w:val="0"/>
          <w:numId w:val="1010"/>
        </w:numPr>
        <w:pStyle w:val="Compact"/>
      </w:pPr>
      <w:r>
        <w:t xml:space="preserve">As</w:t>
      </w:r>
      <w:r>
        <w:t xml:space="preserve"> </w:t>
      </w:r>
      <w:r>
        <w:rPr>
          <w:bCs/>
          <w:b/>
        </w:rPr>
        <w:t xml:space="preserve">perdas da obra deixam de penalizar o investidor</w:t>
      </w:r>
      <w:r>
        <w:t xml:space="preserve">; a</w:t>
      </w:r>
      <w:r>
        <w:t xml:space="preserve"> </w:t>
      </w:r>
      <w:r>
        <w:rPr>
          <w:bCs/>
          <w:b/>
        </w:rPr>
        <w:t xml:space="preserve">sobra</w:t>
      </w:r>
      <w:r>
        <w:t xml:space="preserve"> </w:t>
      </w:r>
      <w:r>
        <w:t xml:space="preserve">de caixa é corretamente distribuída no 1º mês.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0" w:name="observações-de-fechamento"/>
    <w:p>
      <w:pPr>
        <w:pStyle w:val="Heading2"/>
      </w:pPr>
      <w:r>
        <w:t xml:space="preserve">Observações de fechamento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TIR:</w:t>
      </w:r>
      <w:r>
        <w:t xml:space="preserve"> </w:t>
      </w:r>
      <w:r>
        <w:t xml:space="preserve">não se altera nas correções 1, 3 e 4 no que diz respeito ao desconto — a TIR é a taxa interna de retorno (IRR) e independe da TMA. O que se ajusta é o VPL, o teste de viabilidade e os valores/datas exibidos.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Build: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package-lock</w:t>
      </w:r>
      <w:r>
        <w:t xml:space="preserve"> </w:t>
      </w:r>
      <w:r>
        <w:t xml:space="preserve">da suite-apps foi sincronizado (commit</w:t>
      </w:r>
      <w:r>
        <w:t xml:space="preserve"> </w:t>
      </w:r>
      <w:r>
        <w:rPr>
          <w:rStyle w:val="VerbatimChar"/>
        </w:rPr>
        <w:t xml:space="preserve">c0470a9</w:t>
      </w:r>
      <w:r>
        <w:t xml:space="preserve">) para garantir build reproduzível em clone limpo (</w:t>
      </w:r>
      <w:r>
        <w:rPr>
          <w:rStyle w:val="VerbatimChar"/>
        </w:rPr>
        <w:t xml:space="preserve">npm ci</w:t>
      </w:r>
      <w:r>
        <w:t xml:space="preserve">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Publicação:</w:t>
      </w:r>
      <w:r>
        <w:t xml:space="preserve"> </w:t>
      </w:r>
      <w:r>
        <w:t xml:space="preserve">as correções estão implementadas e validadas</w:t>
      </w:r>
      <w:r>
        <w:t xml:space="preserve"> </w:t>
      </w:r>
      <w:r>
        <w:rPr>
          <w:bCs/>
          <w:b/>
        </w:rPr>
        <w:t xml:space="preserve">localmente</w:t>
      </w:r>
      <w:r>
        <w:t xml:space="preserve">. Para refletirem em</w:t>
      </w:r>
      <w:r>
        <w:t xml:space="preserve"> </w:t>
      </w:r>
      <w:r>
        <w:rPr>
          <w:rStyle w:val="VerbatimChar"/>
        </w:rPr>
        <w:t xml:space="preserve">work.lotepro.com</w:t>
      </w:r>
      <w:r>
        <w:t xml:space="preserve">, é necessário publicar a versão</w:t>
      </w:r>
      <w:r>
        <w:t xml:space="preserve"> </w:t>
      </w:r>
      <w:r>
        <w:rPr>
          <w:rStyle w:val="VerbatimChar"/>
        </w:rPr>
        <w:t xml:space="preserve">c0470a9</w:t>
      </w:r>
      <w:r>
        <w:t xml:space="preserve"> </w:t>
      </w:r>
      <w:r>
        <w:t xml:space="preserve">no servidor da stack (179) e reconstruir a suite-apps.</w:t>
      </w:r>
    </w:p>
    <w:bookmarkStart w:id="38" w:name="arquivos-alterados"/>
    <w:p>
      <w:pPr>
        <w:pStyle w:val="Heading3"/>
      </w:pPr>
      <w:r>
        <w:t xml:space="preserve">Arquivos alterados</w:t>
      </w:r>
    </w:p>
    <w:p>
      <w:pPr>
        <w:numPr>
          <w:ilvl w:val="0"/>
          <w:numId w:val="1012"/>
        </w:numPr>
        <w:pStyle w:val="Compact"/>
      </w:pPr>
      <w:r>
        <w:rPr>
          <w:rStyle w:val="VerbatimChar"/>
        </w:rPr>
        <w:t xml:space="preserve">suite-apps/src/apps/analise-viabilidade/pages/CapitalizacaoPage.jsx</w:t>
      </w:r>
      <w:r>
        <w:t xml:space="preserve"> </w:t>
      </w:r>
      <w:r>
        <w:t xml:space="preserve">— correções 1, 3 e 4</w:t>
      </w:r>
    </w:p>
    <w:p>
      <w:pPr>
        <w:numPr>
          <w:ilvl w:val="0"/>
          <w:numId w:val="1012"/>
        </w:numPr>
        <w:pStyle w:val="Compact"/>
      </w:pPr>
      <w:r>
        <w:rPr>
          <w:rStyle w:val="VerbatimChar"/>
        </w:rPr>
        <w:t xml:space="preserve">backend/fluxo-caixa-calculator.js</w:t>
      </w:r>
      <w:r>
        <w:t xml:space="preserve"> </w:t>
      </w:r>
      <w:r>
        <w:t xml:space="preserve">— correção 2 (custos de projetos</w:t>
      </w:r>
      <w:r>
        <w:t xml:space="preserve"> </w:t>
      </w:r>
      <w:r>
        <w:t xml:space="preserve">“</w:t>
      </w:r>
      <w:r>
        <w:t xml:space="preserve">AMBOS</w:t>
      </w:r>
      <w:r>
        <w:t xml:space="preserve">”</w:t>
      </w:r>
      <w:r>
        <w:t xml:space="preserve">)</w:t>
      </w:r>
    </w:p>
    <w:p>
      <w:pPr>
        <w:numPr>
          <w:ilvl w:val="0"/>
          <w:numId w:val="1012"/>
        </w:numPr>
        <w:pStyle w:val="Compact"/>
      </w:pPr>
      <w:r>
        <w:rPr>
          <w:rStyle w:val="VerbatimChar"/>
        </w:rPr>
        <w:t xml:space="preserve">backend/fluxo-caixa-calculator-part2.js</w:t>
      </w:r>
      <w:r>
        <w:t xml:space="preserve"> </w:t>
      </w:r>
      <w:r>
        <w:t xml:space="preserve">— correção 2 (demais custos</w:t>
      </w:r>
      <w:r>
        <w:t xml:space="preserve"> </w:t>
      </w:r>
      <w:r>
        <w:t xml:space="preserve">“</w:t>
      </w:r>
      <w:r>
        <w:t xml:space="preserve">AMBOS</w:t>
      </w:r>
      <w:r>
        <w:t xml:space="preserve">”</w:t>
      </w:r>
      <w:r>
        <w:t xml:space="preserve">)</w:t>
      </w:r>
    </w:p>
    <w:bookmarkEnd w:id="38"/>
    <w:bookmarkStart w:id="39" w:name="commits-de-referência"/>
    <w:p>
      <w:pPr>
        <w:pStyle w:val="Heading3"/>
      </w:pPr>
      <w:r>
        <w:t xml:space="preserve">Commits de referência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</w:rPr>
        <w:t xml:space="preserve">10b9459</w:t>
      </w:r>
      <w:r>
        <w:t xml:space="preserve"> </w:t>
      </w:r>
      <w:r>
        <w:t xml:space="preserve">— TMA do investidor editável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</w:rPr>
        <w:t xml:space="preserve">b704c05</w:t>
      </w:r>
      <w:r>
        <w:t xml:space="preserve"> </w:t>
      </w:r>
      <w:r>
        <w:t xml:space="preserve">— Permuta física: participação 55/45 nos custos</w:t>
      </w:r>
      <w:r>
        <w:t xml:space="preserve"> </w:t>
      </w:r>
      <w:r>
        <w:t xml:space="preserve">“</w:t>
      </w:r>
      <w:r>
        <w:t xml:space="preserve">AMBOS</w:t>
      </w:r>
      <w:r>
        <w:t xml:space="preserve">”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</w:rPr>
        <w:t xml:space="preserve">599db20</w:t>
      </w:r>
      <w:r>
        <w:t xml:space="preserve"> </w:t>
      </w:r>
      <w:r>
        <w:t xml:space="preserve">— Cotas: colunas Receitas/Despesas com bruto proporcional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</w:rPr>
        <w:t xml:space="preserve">1f56abd</w:t>
      </w:r>
      <w:r>
        <w:t xml:space="preserve"> </w:t>
      </w:r>
      <w:r>
        <w:t xml:space="preserve">— Cotas: distribuição no fim da obra + piso das perdas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</w:rPr>
        <w:t xml:space="preserve">c0470a9</w:t>
      </w:r>
      <w:r>
        <w:t xml:space="preserve"> </w:t>
      </w:r>
      <w:r>
        <w:t xml:space="preserve">— package-lock sincronizado (build reproduzível)</w:t>
      </w:r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2026-09-16T16:42:09Z</dcterms:created>
  <dcterms:modified xsi:type="dcterms:W3CDTF">2026-09-16T16:42:09Z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